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51"/>
        <w:tblW w:w="9820" w:type="dxa"/>
        <w:tblLook w:val="01E0" w:firstRow="1" w:lastRow="1" w:firstColumn="1" w:lastColumn="1" w:noHBand="0" w:noVBand="0"/>
      </w:tblPr>
      <w:tblGrid>
        <w:gridCol w:w="3627"/>
        <w:gridCol w:w="6193"/>
      </w:tblGrid>
      <w:tr w:rsidR="007B44DD" w:rsidRPr="001B57DE" w:rsidTr="007B44DD">
        <w:trPr>
          <w:trHeight w:val="900"/>
        </w:trPr>
        <w:tc>
          <w:tcPr>
            <w:tcW w:w="3627" w:type="dxa"/>
          </w:tcPr>
          <w:p w:rsidR="007B44DD" w:rsidRPr="001B57DE" w:rsidRDefault="007B44DD" w:rsidP="007B44DD">
            <w:pPr>
              <w:tabs>
                <w:tab w:val="left" w:pos="403"/>
              </w:tabs>
              <w:spacing w:after="0" w:line="240" w:lineRule="auto"/>
              <w:jc w:val="center"/>
              <w:rPr>
                <w:b/>
                <w:sz w:val="26"/>
              </w:rPr>
            </w:pPr>
            <w:r w:rsidRPr="001B57DE">
              <w:rPr>
                <w:b/>
                <w:sz w:val="26"/>
              </w:rPr>
              <w:t>UỶ BAN NHÂN DÂN</w:t>
            </w:r>
          </w:p>
          <w:p w:rsidR="007B44DD" w:rsidRPr="001B57DE" w:rsidRDefault="00142BFA" w:rsidP="007B44DD">
            <w:pPr>
              <w:tabs>
                <w:tab w:val="left" w:pos="4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</w:rPr>
              <w:pict>
                <v:line id="Line 12" o:spid="_x0000_s1033" style="position:absolute;left:0;text-align:left;z-index:251667456;visibility:visible" from="56.6pt,17.65pt" to="110.6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EZq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"/>
              </w:pict>
            </w:r>
            <w:r w:rsidR="007B44DD" w:rsidRPr="001B57DE">
              <w:rPr>
                <w:b/>
                <w:sz w:val="26"/>
              </w:rPr>
              <w:t>TỈNH QUẢNG NINH</w:t>
            </w:r>
          </w:p>
        </w:tc>
        <w:tc>
          <w:tcPr>
            <w:tcW w:w="6193" w:type="dxa"/>
          </w:tcPr>
          <w:p w:rsidR="007B44DD" w:rsidRPr="001B57DE" w:rsidRDefault="007B44DD" w:rsidP="007B44D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B57DE">
              <w:rPr>
                <w:b/>
                <w:sz w:val="26"/>
                <w:szCs w:val="26"/>
              </w:rPr>
              <w:t>CỘNG HÒA XÃ HỘI CHỦ NGHĨA VIỆT NAM</w:t>
            </w:r>
          </w:p>
          <w:p w:rsidR="007B44DD" w:rsidRPr="001B57DE" w:rsidRDefault="00142BFA" w:rsidP="007B44DD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w:pict>
                <v:line id="Line 10" o:spid="_x0000_s1032" style="position:absolute;left:0;text-align:left;z-index:251666432;visibility:visible" from="64.9pt,17.65pt" to="235.9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yCo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"/>
              </w:pict>
            </w:r>
            <w:r w:rsidR="007B44DD" w:rsidRPr="001B57DE">
              <w:rPr>
                <w:b/>
              </w:rPr>
              <w:t>Độc lập - Tự do - Hạnh phúc</w:t>
            </w:r>
          </w:p>
        </w:tc>
      </w:tr>
      <w:tr w:rsidR="007B44DD" w:rsidRPr="001B57DE" w:rsidTr="007B44DD">
        <w:trPr>
          <w:trHeight w:val="720"/>
        </w:trPr>
        <w:tc>
          <w:tcPr>
            <w:tcW w:w="3627" w:type="dxa"/>
          </w:tcPr>
          <w:p w:rsidR="007B44DD" w:rsidRPr="001B57DE" w:rsidRDefault="007B44DD" w:rsidP="007B44DD">
            <w:pPr>
              <w:tabs>
                <w:tab w:val="left" w:pos="403"/>
              </w:tabs>
              <w:spacing w:after="0"/>
              <w:jc w:val="center"/>
            </w:pPr>
            <w:r w:rsidRPr="001B57DE">
              <w:t>Số:</w:t>
            </w:r>
            <w:r w:rsidR="00673A70">
              <w:t xml:space="preserve"> 1377</w:t>
            </w:r>
            <w:r w:rsidRPr="001B57DE">
              <w:t>/QĐ-UBND</w:t>
            </w:r>
          </w:p>
        </w:tc>
        <w:tc>
          <w:tcPr>
            <w:tcW w:w="6193" w:type="dxa"/>
          </w:tcPr>
          <w:p w:rsidR="007B44DD" w:rsidRPr="001B57DE" w:rsidRDefault="007B44DD" w:rsidP="00FB0FA8">
            <w:pPr>
              <w:spacing w:after="0"/>
              <w:jc w:val="center"/>
              <w:rPr>
                <w:b/>
              </w:rPr>
            </w:pPr>
            <w:r w:rsidRPr="001B57DE">
              <w:rPr>
                <w:i/>
              </w:rPr>
              <w:t>Quảng Ninh, ngày</w:t>
            </w:r>
            <w:r>
              <w:rPr>
                <w:i/>
              </w:rPr>
              <w:t xml:space="preserve"> </w:t>
            </w:r>
            <w:r w:rsidR="00673A70">
              <w:rPr>
                <w:i/>
              </w:rPr>
              <w:t>1</w:t>
            </w:r>
            <w:r w:rsidR="00FB0FA8">
              <w:rPr>
                <w:i/>
              </w:rPr>
              <w:t>0</w:t>
            </w:r>
            <w:r>
              <w:rPr>
                <w:i/>
              </w:rPr>
              <w:t xml:space="preserve"> </w:t>
            </w:r>
            <w:r w:rsidRPr="001B57DE">
              <w:rPr>
                <w:i/>
              </w:rPr>
              <w:t xml:space="preserve">tháng </w:t>
            </w:r>
            <w:r>
              <w:rPr>
                <w:i/>
              </w:rPr>
              <w:t xml:space="preserve">5 </w:t>
            </w:r>
            <w:r w:rsidRPr="001B57DE">
              <w:rPr>
                <w:i/>
              </w:rPr>
              <w:t>năm 20</w:t>
            </w:r>
            <w:r>
              <w:rPr>
                <w:i/>
              </w:rPr>
              <w:t>24</w:t>
            </w:r>
          </w:p>
        </w:tc>
      </w:tr>
    </w:tbl>
    <w:p w:rsidR="00957E99" w:rsidRPr="001B57DE" w:rsidRDefault="00957E99" w:rsidP="00957E99">
      <w:pPr>
        <w:spacing w:after="0" w:line="240" w:lineRule="auto"/>
        <w:jc w:val="center"/>
        <w:rPr>
          <w:b/>
        </w:rPr>
      </w:pPr>
      <w:r>
        <w:rPr>
          <w:b/>
        </w:rPr>
        <w:t>Q</w:t>
      </w:r>
      <w:r w:rsidRPr="001B57DE">
        <w:rPr>
          <w:b/>
        </w:rPr>
        <w:t>UYẾT ĐỊNH</w:t>
      </w:r>
    </w:p>
    <w:p w:rsidR="00A41CF4" w:rsidRDefault="00957E99" w:rsidP="00957E99">
      <w:pPr>
        <w:tabs>
          <w:tab w:val="left" w:pos="545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Về việ</w:t>
      </w:r>
      <w:r w:rsidR="002C6683">
        <w:rPr>
          <w:b/>
          <w:bCs/>
        </w:rPr>
        <w:t>c</w:t>
      </w:r>
      <w:r w:rsidR="00A46D42">
        <w:rPr>
          <w:b/>
          <w:bCs/>
        </w:rPr>
        <w:t xml:space="preserve"> </w:t>
      </w:r>
      <w:r w:rsidR="00A41CF4">
        <w:rPr>
          <w:b/>
          <w:bCs/>
        </w:rPr>
        <w:t>công bố danh mục TTHC bãi bỏ thuộc</w:t>
      </w:r>
    </w:p>
    <w:p w:rsidR="00957E99" w:rsidRDefault="00A41CF4" w:rsidP="00957E99">
      <w:pPr>
        <w:tabs>
          <w:tab w:val="left" w:pos="545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thẩm quyền giải quyết của Sở Ngoại vụ</w:t>
      </w:r>
    </w:p>
    <w:p w:rsidR="00957E99" w:rsidRPr="001B57DE" w:rsidRDefault="00142BFA" w:rsidP="00957E99">
      <w:pPr>
        <w:spacing w:before="60" w:after="60"/>
        <w:jc w:val="center"/>
      </w:pPr>
      <w:r>
        <w:rPr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6" o:spid="_x0000_s1027" type="#_x0000_t32" style="position:absolute;left:0;text-align:left;margin-left:183.45pt;margin-top:3.45pt;width:87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0YY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"/>
        </w:pict>
      </w:r>
    </w:p>
    <w:p w:rsidR="00957E99" w:rsidRPr="007B44DD" w:rsidRDefault="0059271E" w:rsidP="00686FCB">
      <w:pPr>
        <w:spacing w:before="120" w:after="120" w:line="240" w:lineRule="auto"/>
        <w:jc w:val="center"/>
        <w:rPr>
          <w:b/>
          <w:sz w:val="26"/>
          <w:szCs w:val="26"/>
        </w:rPr>
      </w:pPr>
      <w:r w:rsidRPr="007B44DD">
        <w:rPr>
          <w:b/>
          <w:sz w:val="26"/>
          <w:szCs w:val="26"/>
        </w:rPr>
        <w:t xml:space="preserve">CHỦ TỊCH </w:t>
      </w:r>
      <w:r w:rsidR="00957E99" w:rsidRPr="007B44DD">
        <w:rPr>
          <w:b/>
          <w:sz w:val="26"/>
          <w:szCs w:val="26"/>
        </w:rPr>
        <w:t>UỶ BAN NHÂN DÂN TỈNH QUẢNG NINH</w:t>
      </w:r>
    </w:p>
    <w:p w:rsidR="00957E99" w:rsidRPr="009F117A" w:rsidRDefault="00957E99" w:rsidP="002D0BC6">
      <w:pPr>
        <w:spacing w:after="0" w:line="240" w:lineRule="auto"/>
        <w:jc w:val="center"/>
        <w:rPr>
          <w:b/>
          <w:sz w:val="2"/>
        </w:rPr>
      </w:pPr>
    </w:p>
    <w:p w:rsidR="00957E99" w:rsidRPr="0059271E" w:rsidRDefault="00957E99" w:rsidP="007B44DD">
      <w:pPr>
        <w:spacing w:before="60" w:after="60" w:line="240" w:lineRule="auto"/>
        <w:ind w:firstLine="720"/>
        <w:jc w:val="both"/>
        <w:rPr>
          <w:i/>
          <w:lang w:val="nl-NL"/>
        </w:rPr>
      </w:pPr>
      <w:r w:rsidRPr="0059271E">
        <w:rPr>
          <w:i/>
          <w:lang w:val="nl-NL"/>
        </w:rPr>
        <w:t>Căn cứ Luật Tổ chức Chính quyền địa phương số</w:t>
      </w:r>
      <w:r w:rsidR="0059271E">
        <w:rPr>
          <w:i/>
          <w:lang w:val="nl-NL"/>
        </w:rPr>
        <w:t xml:space="preserve"> 77/2015/QH13</w:t>
      </w:r>
      <w:r w:rsidRPr="0059271E">
        <w:rPr>
          <w:i/>
          <w:lang w:val="nl-NL"/>
        </w:rPr>
        <w:t xml:space="preserve"> ngày 19/6/2015; </w:t>
      </w:r>
      <w:r w:rsidR="00E52DDD" w:rsidRPr="0059271E">
        <w:rPr>
          <w:i/>
          <w:szCs w:val="28"/>
        </w:rPr>
        <w:t xml:space="preserve">Luật sửa đổi, bổ sung một số điều của Luật Tổ chức Chính phủ và Luật Tổ chức chính quyền địa phương ngày 22/11/2019;  </w:t>
      </w:r>
    </w:p>
    <w:p w:rsidR="002B1373" w:rsidRPr="000A0564" w:rsidRDefault="002B1373" w:rsidP="007B44DD">
      <w:pPr>
        <w:spacing w:before="60" w:after="60" w:line="240" w:lineRule="auto"/>
        <w:ind w:firstLine="720"/>
        <w:jc w:val="both"/>
        <w:rPr>
          <w:i/>
          <w:spacing w:val="-2"/>
          <w:szCs w:val="28"/>
          <w:lang w:val="nl-NL"/>
        </w:rPr>
      </w:pPr>
      <w:r w:rsidRPr="000A0564">
        <w:rPr>
          <w:i/>
          <w:spacing w:val="-2"/>
          <w:szCs w:val="28"/>
          <w:lang w:val="nl-NL"/>
        </w:rPr>
        <w:t>Căn cứ Nghị định số 63/2010/NĐ-CP ngày 08/6/2010 của Chính phủ về kiểm soát thủ tục hành chính; Nghị định số 48/2013/NĐ-CP ngày 14/5/2013 của Chính phủ sửa đổi, bổ sung một số điều của các Nghị định liên quan đến kiểm soát thủ tục hành chính; Nghị định số 92/2017/NĐ-CP ngày 07/8/2017 của Chính phủ sửa đổi, bổ sung một số điều của các nghị định liên quan đến kiểm soát thủ tục hành chính;</w:t>
      </w:r>
    </w:p>
    <w:p w:rsidR="002B1373" w:rsidRPr="000A0564" w:rsidRDefault="002B1373" w:rsidP="007B44DD">
      <w:pPr>
        <w:spacing w:before="60" w:after="60" w:line="240" w:lineRule="auto"/>
        <w:ind w:firstLine="720"/>
        <w:jc w:val="both"/>
        <w:rPr>
          <w:i/>
          <w:spacing w:val="-2"/>
          <w:szCs w:val="28"/>
          <w:lang w:val="nl-NL"/>
        </w:rPr>
      </w:pPr>
      <w:r w:rsidRPr="000A0564">
        <w:rPr>
          <w:i/>
          <w:spacing w:val="-2"/>
          <w:szCs w:val="28"/>
          <w:lang w:val="nl-NL"/>
        </w:rPr>
        <w:t>Căn cứ Thông tư số 02/2017/TT-VPCP ngày 31/10/2017 của Văn phòng Chính phủ hướng dẫn nghiệp vụ về kiểm soát thủ tục hành chính;</w:t>
      </w:r>
    </w:p>
    <w:p w:rsidR="00B67373" w:rsidRPr="007B44DD" w:rsidRDefault="00293378" w:rsidP="007B44DD">
      <w:pPr>
        <w:spacing w:before="60" w:after="60" w:line="240" w:lineRule="auto"/>
        <w:ind w:firstLine="720"/>
        <w:jc w:val="both"/>
        <w:rPr>
          <w:i/>
          <w:lang w:val="nl-NL"/>
        </w:rPr>
      </w:pPr>
      <w:r>
        <w:rPr>
          <w:i/>
          <w:lang w:val="nl-NL"/>
        </w:rPr>
        <w:t xml:space="preserve">Theo </w:t>
      </w:r>
      <w:r w:rsidR="00957E99" w:rsidRPr="0059271E">
        <w:rPr>
          <w:i/>
          <w:lang w:val="nl-NL"/>
        </w:rPr>
        <w:t xml:space="preserve">đề nghị của Sở Ngoại vụ tại Tờ trình số </w:t>
      </w:r>
      <w:r>
        <w:rPr>
          <w:i/>
          <w:lang w:val="nl-NL"/>
        </w:rPr>
        <w:t>584/TTr-SNGV ngày 06/5/2024.</w:t>
      </w:r>
    </w:p>
    <w:p w:rsidR="00957E99" w:rsidRPr="002F0DF2" w:rsidRDefault="00957E99" w:rsidP="00686FCB">
      <w:pPr>
        <w:spacing w:before="120" w:after="120" w:line="240" w:lineRule="auto"/>
        <w:jc w:val="center"/>
        <w:rPr>
          <w:b/>
          <w:lang w:val="nl-NL"/>
        </w:rPr>
      </w:pPr>
      <w:r w:rsidRPr="002F0DF2">
        <w:rPr>
          <w:b/>
          <w:lang w:val="nl-NL"/>
        </w:rPr>
        <w:t>QUYẾT ĐỊNH:</w:t>
      </w:r>
    </w:p>
    <w:p w:rsidR="008705BA" w:rsidRPr="000A0564" w:rsidRDefault="008705BA" w:rsidP="007B44DD">
      <w:pPr>
        <w:spacing w:before="60" w:after="60" w:line="240" w:lineRule="auto"/>
        <w:ind w:firstLine="720"/>
        <w:jc w:val="both"/>
        <w:rPr>
          <w:spacing w:val="2"/>
          <w:szCs w:val="28"/>
          <w:lang w:val="nl-NL"/>
        </w:rPr>
      </w:pPr>
      <w:r w:rsidRPr="000A0564">
        <w:rPr>
          <w:b/>
          <w:spacing w:val="2"/>
          <w:szCs w:val="28"/>
          <w:lang w:val="nl-NL"/>
        </w:rPr>
        <w:t xml:space="preserve">Điều 1. </w:t>
      </w:r>
      <w:r w:rsidRPr="000A0564">
        <w:rPr>
          <w:spacing w:val="2"/>
          <w:szCs w:val="28"/>
          <w:lang w:val="nl-NL"/>
        </w:rPr>
        <w:t>Công bố kèm theo Quyết định này danh mục</w:t>
      </w:r>
      <w:r w:rsidRPr="000A0564">
        <w:rPr>
          <w:szCs w:val="28"/>
          <w:lang w:val="da-DK"/>
        </w:rPr>
        <w:t xml:space="preserve"> thủ tục hành chính </w:t>
      </w:r>
      <w:r>
        <w:rPr>
          <w:szCs w:val="28"/>
          <w:lang w:val="da-DK"/>
        </w:rPr>
        <w:t>bãi bỏ</w:t>
      </w:r>
      <w:r w:rsidRPr="000A0564">
        <w:rPr>
          <w:szCs w:val="28"/>
          <w:lang w:val="da-DK"/>
        </w:rPr>
        <w:t xml:space="preserve"> thuộc </w:t>
      </w:r>
      <w:r>
        <w:rPr>
          <w:szCs w:val="28"/>
          <w:lang w:val="da-DK"/>
        </w:rPr>
        <w:t>thẩm quyền giải quyết của Sở Ngoại vụ</w:t>
      </w:r>
      <w:r w:rsidRPr="000A0564">
        <w:rPr>
          <w:szCs w:val="28"/>
          <w:lang w:val="da-DK"/>
        </w:rPr>
        <w:t xml:space="preserve"> </w:t>
      </w:r>
      <w:r w:rsidRPr="000A0564">
        <w:rPr>
          <w:spacing w:val="2"/>
          <w:szCs w:val="28"/>
          <w:lang w:val="nl-NL"/>
        </w:rPr>
        <w:t>(</w:t>
      </w:r>
      <w:r w:rsidRPr="000A0564">
        <w:rPr>
          <w:i/>
          <w:spacing w:val="2"/>
          <w:szCs w:val="28"/>
          <w:lang w:val="nl-NL"/>
        </w:rPr>
        <w:t>có danh mục thủ tục hành chính kèm theo</w:t>
      </w:r>
      <w:r w:rsidRPr="000A0564">
        <w:rPr>
          <w:spacing w:val="2"/>
          <w:szCs w:val="28"/>
          <w:lang w:val="nl-NL"/>
        </w:rPr>
        <w:t>)</w:t>
      </w:r>
      <w:r w:rsidRPr="000A0564">
        <w:rPr>
          <w:i/>
          <w:spacing w:val="2"/>
          <w:szCs w:val="28"/>
          <w:lang w:val="vi-VN"/>
        </w:rPr>
        <w:t>.</w:t>
      </w:r>
    </w:p>
    <w:p w:rsidR="008705BA" w:rsidRPr="000A0564" w:rsidRDefault="008705BA" w:rsidP="007B44DD">
      <w:pPr>
        <w:spacing w:before="60" w:after="60" w:line="240" w:lineRule="auto"/>
        <w:ind w:firstLine="720"/>
        <w:jc w:val="both"/>
        <w:rPr>
          <w:spacing w:val="2"/>
          <w:szCs w:val="28"/>
          <w:lang w:val="nl-NL"/>
        </w:rPr>
      </w:pPr>
      <w:r w:rsidRPr="000A0564">
        <w:rPr>
          <w:b/>
          <w:szCs w:val="28"/>
          <w:lang w:val="nl-NL"/>
        </w:rPr>
        <w:t xml:space="preserve">Điều 2. </w:t>
      </w:r>
      <w:r w:rsidRPr="000A0564">
        <w:rPr>
          <w:spacing w:val="2"/>
          <w:szCs w:val="28"/>
          <w:lang w:val="nl-NL"/>
        </w:rPr>
        <w:t xml:space="preserve">Quyết định này có </w:t>
      </w:r>
      <w:r>
        <w:rPr>
          <w:spacing w:val="2"/>
          <w:szCs w:val="28"/>
          <w:lang w:val="nl-NL"/>
        </w:rPr>
        <w:t>hiệu lực kể từ ngày ký ban hành</w:t>
      </w:r>
      <w:r w:rsidRPr="000A0564">
        <w:rPr>
          <w:spacing w:val="2"/>
          <w:szCs w:val="28"/>
          <w:lang w:val="nl-NL"/>
        </w:rPr>
        <w:t xml:space="preserve"> </w:t>
      </w:r>
      <w:r>
        <w:rPr>
          <w:spacing w:val="2"/>
          <w:szCs w:val="28"/>
          <w:lang w:val="nl-NL"/>
        </w:rPr>
        <w:t>và bãi bỏ thủ tục số 3 tại Quyết định số 4379/QĐ-UBND ngày 07/11/20</w:t>
      </w:r>
      <w:r w:rsidR="0028157B">
        <w:rPr>
          <w:spacing w:val="2"/>
          <w:szCs w:val="28"/>
          <w:lang w:val="nl-NL"/>
        </w:rPr>
        <w:t>1</w:t>
      </w:r>
      <w:r>
        <w:rPr>
          <w:spacing w:val="2"/>
          <w:szCs w:val="28"/>
          <w:lang w:val="nl-NL"/>
        </w:rPr>
        <w:t>7 của Chủ tịch UBND tỉnh.</w:t>
      </w:r>
    </w:p>
    <w:p w:rsidR="008705BA" w:rsidRPr="000A0564" w:rsidRDefault="008705BA" w:rsidP="007B44DD">
      <w:pPr>
        <w:tabs>
          <w:tab w:val="left" w:pos="545"/>
        </w:tabs>
        <w:spacing w:before="60" w:after="60" w:line="240" w:lineRule="auto"/>
        <w:ind w:firstLine="720"/>
        <w:jc w:val="both"/>
        <w:rPr>
          <w:szCs w:val="28"/>
          <w:lang w:val="pt-BR"/>
        </w:rPr>
      </w:pPr>
      <w:r w:rsidRPr="000A0564">
        <w:rPr>
          <w:b/>
          <w:spacing w:val="10"/>
          <w:szCs w:val="28"/>
          <w:lang w:val="nl-NL"/>
        </w:rPr>
        <w:t>Điều 3.</w:t>
      </w:r>
      <w:r>
        <w:rPr>
          <w:b/>
          <w:spacing w:val="10"/>
          <w:szCs w:val="28"/>
          <w:lang w:val="nl-NL"/>
        </w:rPr>
        <w:t xml:space="preserve"> </w:t>
      </w:r>
      <w:r w:rsidRPr="000A0564">
        <w:rPr>
          <w:szCs w:val="28"/>
          <w:lang w:val="pt-BR"/>
        </w:rPr>
        <w:t xml:space="preserve">Chánh Văn phòng </w:t>
      </w:r>
      <w:r w:rsidRPr="000A0564">
        <w:rPr>
          <w:bCs/>
          <w:szCs w:val="28"/>
          <w:lang w:val="pt-BR"/>
        </w:rPr>
        <w:t xml:space="preserve">Ủy ban nhân dân </w:t>
      </w:r>
      <w:r w:rsidRPr="000A0564">
        <w:rPr>
          <w:szCs w:val="28"/>
          <w:lang w:val="pt-BR"/>
        </w:rPr>
        <w:t xml:space="preserve">tỉnh, Giám đốc Sở </w:t>
      </w:r>
      <w:r>
        <w:rPr>
          <w:szCs w:val="28"/>
          <w:lang w:val="pt-BR"/>
        </w:rPr>
        <w:t>Ngoại vụ</w:t>
      </w:r>
      <w:r w:rsidRPr="000A0564">
        <w:rPr>
          <w:szCs w:val="28"/>
          <w:lang w:val="pt-BR"/>
        </w:rPr>
        <w:t xml:space="preserve">, </w:t>
      </w:r>
      <w:r>
        <w:rPr>
          <w:szCs w:val="28"/>
          <w:lang w:val="pt-BR"/>
        </w:rPr>
        <w:t xml:space="preserve">Giám đốc Trung tâm Phục vụ hành chính công tỉnh </w:t>
      </w:r>
      <w:r w:rsidRPr="000A0564">
        <w:rPr>
          <w:szCs w:val="28"/>
          <w:lang w:val="pt-BR"/>
        </w:rPr>
        <w:t>và các tổ chức, cá nhân liên quan theo trách nhiệm thi hành Quyết định này./.</w:t>
      </w:r>
    </w:p>
    <w:tbl>
      <w:tblPr>
        <w:tblpPr w:leftFromText="180" w:rightFromText="180" w:vertAnchor="text" w:tblpY="133"/>
        <w:tblW w:w="8789" w:type="dxa"/>
        <w:tblLayout w:type="fixed"/>
        <w:tblLook w:val="0000" w:firstRow="0" w:lastRow="0" w:firstColumn="0" w:lastColumn="0" w:noHBand="0" w:noVBand="0"/>
      </w:tblPr>
      <w:tblGrid>
        <w:gridCol w:w="4678"/>
        <w:gridCol w:w="4111"/>
      </w:tblGrid>
      <w:tr w:rsidR="007B44DD" w:rsidTr="00B20694">
        <w:trPr>
          <w:trHeight w:val="1931"/>
        </w:trPr>
        <w:tc>
          <w:tcPr>
            <w:tcW w:w="4678" w:type="dxa"/>
            <w:shd w:val="clear" w:color="000000" w:fill="FFFFFF"/>
          </w:tcPr>
          <w:p w:rsidR="007B44DD" w:rsidRPr="008705BA" w:rsidRDefault="007B44DD" w:rsidP="007B4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4111" w:type="dxa"/>
            <w:shd w:val="clear" w:color="000000" w:fill="FFFFFF"/>
          </w:tcPr>
          <w:p w:rsidR="007B44DD" w:rsidRDefault="007B44DD" w:rsidP="007B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KT. CHỦ TỊCH</w:t>
            </w:r>
          </w:p>
          <w:p w:rsidR="007B44DD" w:rsidRDefault="007B44DD" w:rsidP="007B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PHÓ CHỦ TỊCH </w:t>
            </w:r>
          </w:p>
          <w:p w:rsidR="007B44DD" w:rsidRDefault="007B44DD" w:rsidP="007B44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  <w:p w:rsidR="00B20694" w:rsidRDefault="00B20694" w:rsidP="007B44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  <w:p w:rsidR="00B20694" w:rsidRPr="008974EC" w:rsidRDefault="008974EC" w:rsidP="0089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 w:rsidRPr="008974EC">
              <w:rPr>
                <w:bCs/>
                <w:i/>
              </w:rPr>
              <w:t>(Đã ký)</w:t>
            </w:r>
          </w:p>
          <w:p w:rsidR="007B44DD" w:rsidRDefault="007B44DD" w:rsidP="00333C8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  <w:p w:rsidR="007B44DD" w:rsidRDefault="007B44DD" w:rsidP="007B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  <w:p w:rsidR="007B44DD" w:rsidRDefault="007B44DD" w:rsidP="007B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b/>
                <w:bCs/>
              </w:rPr>
              <w:t>Nghiêm Xuân Cường</w:t>
            </w:r>
          </w:p>
        </w:tc>
      </w:tr>
    </w:tbl>
    <w:p w:rsidR="00B67373" w:rsidRDefault="00B67373" w:rsidP="00B67373">
      <w:pPr>
        <w:tabs>
          <w:tab w:val="left" w:pos="2565"/>
        </w:tabs>
        <w:sectPr w:rsidR="00B67373" w:rsidSect="00A02266">
          <w:pgSz w:w="11909" w:h="16834" w:code="9"/>
          <w:pgMar w:top="1134" w:right="1134" w:bottom="1134" w:left="1701" w:header="720" w:footer="720" w:gutter="0"/>
          <w:cols w:space="720"/>
          <w:docGrid w:linePitch="381"/>
        </w:sectPr>
      </w:pPr>
    </w:p>
    <w:p w:rsidR="00B67373" w:rsidRPr="00694AE9" w:rsidRDefault="00B67373" w:rsidP="00B67373">
      <w:pPr>
        <w:tabs>
          <w:tab w:val="left" w:pos="3420"/>
        </w:tabs>
        <w:spacing w:after="0" w:line="240" w:lineRule="auto"/>
        <w:jc w:val="center"/>
        <w:rPr>
          <w:i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lastRenderedPageBreak/>
        <w:t>Phụ lục</w:t>
      </w:r>
    </w:p>
    <w:p w:rsidR="00B67373" w:rsidRDefault="00B67373" w:rsidP="00B67373">
      <w:pPr>
        <w:spacing w:after="0" w:line="240" w:lineRule="auto"/>
        <w:jc w:val="center"/>
        <w:rPr>
          <w:b/>
          <w:sz w:val="26"/>
          <w:szCs w:val="26"/>
          <w:lang w:val="nl-NL"/>
        </w:rPr>
      </w:pPr>
      <w:r w:rsidRPr="00694AE9">
        <w:rPr>
          <w:b/>
          <w:sz w:val="26"/>
          <w:szCs w:val="26"/>
          <w:lang w:val="nl-NL"/>
        </w:rPr>
        <w:t>DANH MỤC THỦ TỤC HÀNH CHÍNH</w:t>
      </w:r>
      <w:r w:rsidRPr="00694AE9">
        <w:rPr>
          <w:b/>
          <w:sz w:val="26"/>
          <w:szCs w:val="26"/>
          <w:lang w:val="vi-VN"/>
        </w:rPr>
        <w:t xml:space="preserve"> </w:t>
      </w:r>
      <w:r>
        <w:rPr>
          <w:b/>
          <w:sz w:val="26"/>
          <w:szCs w:val="26"/>
          <w:lang w:val="nl-NL"/>
        </w:rPr>
        <w:t>BÃI BỎ</w:t>
      </w:r>
      <w:r w:rsidRPr="00694AE9">
        <w:rPr>
          <w:b/>
          <w:sz w:val="26"/>
          <w:szCs w:val="26"/>
          <w:lang w:val="nl-NL"/>
        </w:rPr>
        <w:t xml:space="preserve"> </w:t>
      </w:r>
      <w:r>
        <w:rPr>
          <w:b/>
          <w:sz w:val="26"/>
          <w:szCs w:val="26"/>
          <w:lang w:val="nl-NL"/>
        </w:rPr>
        <w:t>THUỘC THẨM QUYỀN GIẢI QUYẾT CỦA SỞ NGOẠI VỤ</w:t>
      </w:r>
    </w:p>
    <w:p w:rsidR="00B67373" w:rsidRPr="00911967" w:rsidRDefault="00B67373" w:rsidP="00B67373">
      <w:pPr>
        <w:spacing w:after="0" w:line="240" w:lineRule="auto"/>
        <w:jc w:val="center"/>
        <w:rPr>
          <w:i/>
          <w:sz w:val="26"/>
          <w:szCs w:val="26"/>
          <w:lang w:val="nl-NL"/>
        </w:rPr>
      </w:pPr>
      <w:r w:rsidRPr="00694AE9">
        <w:rPr>
          <w:i/>
          <w:sz w:val="26"/>
          <w:szCs w:val="26"/>
          <w:lang w:val="nl-NL"/>
        </w:rPr>
        <w:t>(Ban hành kèm theo Quyết đị</w:t>
      </w:r>
      <w:r>
        <w:rPr>
          <w:i/>
          <w:sz w:val="26"/>
          <w:szCs w:val="26"/>
          <w:lang w:val="nl-NL"/>
        </w:rPr>
        <w:t xml:space="preserve">nh số: </w:t>
      </w:r>
      <w:r w:rsidR="0002706B">
        <w:rPr>
          <w:i/>
          <w:sz w:val="26"/>
          <w:szCs w:val="26"/>
          <w:lang w:val="nl-NL"/>
        </w:rPr>
        <w:t>1377/QĐ-UBND ngày 10</w:t>
      </w:r>
      <w:r w:rsidRPr="00694AE9">
        <w:rPr>
          <w:i/>
          <w:sz w:val="26"/>
          <w:szCs w:val="26"/>
          <w:lang w:val="nl-NL"/>
        </w:rPr>
        <w:t>/</w:t>
      </w:r>
      <w:r>
        <w:rPr>
          <w:i/>
          <w:sz w:val="26"/>
          <w:szCs w:val="26"/>
          <w:lang w:val="nl-NL"/>
        </w:rPr>
        <w:t>5</w:t>
      </w:r>
      <w:bookmarkStart w:id="0" w:name="_GoBack"/>
      <w:bookmarkEnd w:id="0"/>
      <w:r>
        <w:rPr>
          <w:i/>
          <w:sz w:val="26"/>
          <w:szCs w:val="26"/>
          <w:lang w:val="nl-NL"/>
        </w:rPr>
        <w:t xml:space="preserve">/2024 </w:t>
      </w:r>
      <w:r w:rsidRPr="00694AE9">
        <w:rPr>
          <w:i/>
          <w:sz w:val="26"/>
          <w:szCs w:val="26"/>
          <w:lang w:val="nl-NL"/>
        </w:rPr>
        <w:t>của</w:t>
      </w:r>
      <w:r>
        <w:rPr>
          <w:i/>
          <w:sz w:val="26"/>
          <w:szCs w:val="26"/>
          <w:lang w:val="nl-NL"/>
        </w:rPr>
        <w:t xml:space="preserve"> Chủ tịch</w:t>
      </w:r>
      <w:r w:rsidRPr="00694AE9">
        <w:rPr>
          <w:i/>
          <w:sz w:val="26"/>
          <w:szCs w:val="26"/>
          <w:lang w:val="nl-NL"/>
        </w:rPr>
        <w:t xml:space="preserve"> UBND tỉnh</w:t>
      </w:r>
      <w:r w:rsidRPr="00694AE9">
        <w:rPr>
          <w:sz w:val="26"/>
          <w:szCs w:val="26"/>
          <w:lang w:val="nl-NL"/>
        </w:rPr>
        <w:t>)</w:t>
      </w:r>
    </w:p>
    <w:p w:rsidR="00B67373" w:rsidRDefault="00142BFA" w:rsidP="00B67373">
      <w:pPr>
        <w:jc w:val="center"/>
        <w:rPr>
          <w:b/>
          <w:spacing w:val="-2"/>
          <w:sz w:val="26"/>
          <w:szCs w:val="26"/>
          <w:lang w:val="nl-NL"/>
        </w:rPr>
      </w:pPr>
      <w:r>
        <w:rPr>
          <w:noProof/>
        </w:rPr>
        <w:pict>
          <v:line id="Straight Connector 9" o:spid="_x0000_s1031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55pt,6.35pt" to="487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" strokecolor="black [3200]" strokeweight=".5pt">
            <v:stroke joinstyle="miter"/>
          </v:line>
        </w:pic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64"/>
        <w:gridCol w:w="6520"/>
        <w:gridCol w:w="3260"/>
        <w:gridCol w:w="1247"/>
      </w:tblGrid>
      <w:tr w:rsidR="00B67373" w:rsidRPr="00966E33" w:rsidTr="00BC3174">
        <w:trPr>
          <w:tblHeader/>
        </w:trPr>
        <w:tc>
          <w:tcPr>
            <w:tcW w:w="709" w:type="dxa"/>
            <w:vAlign w:val="center"/>
          </w:tcPr>
          <w:p w:rsidR="00B67373" w:rsidRPr="00966E33" w:rsidRDefault="00B67373" w:rsidP="00574A3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966E33">
              <w:rPr>
                <w:b/>
                <w:bCs/>
                <w:sz w:val="26"/>
                <w:szCs w:val="26"/>
                <w:lang w:val="nl-NL"/>
              </w:rPr>
              <w:t>STT</w:t>
            </w:r>
          </w:p>
        </w:tc>
        <w:tc>
          <w:tcPr>
            <w:tcW w:w="2864" w:type="dxa"/>
            <w:vAlign w:val="center"/>
          </w:tcPr>
          <w:p w:rsidR="00B67373" w:rsidRPr="00966E33" w:rsidRDefault="00B67373" w:rsidP="00574A3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966E33">
              <w:rPr>
                <w:b/>
                <w:sz w:val="26"/>
                <w:szCs w:val="26"/>
              </w:rPr>
              <w:t>Số hồ sơ TTHC</w:t>
            </w:r>
          </w:p>
        </w:tc>
        <w:tc>
          <w:tcPr>
            <w:tcW w:w="6520" w:type="dxa"/>
            <w:vAlign w:val="center"/>
          </w:tcPr>
          <w:p w:rsidR="00B67373" w:rsidRPr="00966E33" w:rsidRDefault="00B67373" w:rsidP="00574A3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966E33">
              <w:rPr>
                <w:b/>
                <w:sz w:val="26"/>
                <w:szCs w:val="26"/>
                <w:lang w:val="nl-NL"/>
              </w:rPr>
              <w:t>Tên thủ tục hành chính</w:t>
            </w:r>
          </w:p>
        </w:tc>
        <w:tc>
          <w:tcPr>
            <w:tcW w:w="3260" w:type="dxa"/>
            <w:vAlign w:val="center"/>
          </w:tcPr>
          <w:p w:rsidR="00B67373" w:rsidRPr="00966E33" w:rsidRDefault="00B67373" w:rsidP="00574A3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966E33">
              <w:rPr>
                <w:b/>
                <w:sz w:val="26"/>
                <w:szCs w:val="26"/>
                <w:lang w:val="nl-NL"/>
              </w:rPr>
              <w:t>Tên VBQPPL quy định việc bãi bỏ TTHC</w:t>
            </w:r>
          </w:p>
        </w:tc>
        <w:tc>
          <w:tcPr>
            <w:tcW w:w="1247" w:type="dxa"/>
            <w:vAlign w:val="center"/>
          </w:tcPr>
          <w:p w:rsidR="00B67373" w:rsidRPr="00966E33" w:rsidRDefault="00B67373" w:rsidP="00574A3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966E33">
              <w:rPr>
                <w:b/>
                <w:bCs/>
                <w:sz w:val="26"/>
                <w:szCs w:val="26"/>
                <w:lang w:val="nl-NL"/>
              </w:rPr>
              <w:t>Ghi chú</w:t>
            </w:r>
          </w:p>
        </w:tc>
      </w:tr>
      <w:tr w:rsidR="00B67373" w:rsidRPr="00966E33" w:rsidTr="00BC3174">
        <w:trPr>
          <w:trHeight w:val="768"/>
        </w:trPr>
        <w:tc>
          <w:tcPr>
            <w:tcW w:w="709" w:type="dxa"/>
            <w:vAlign w:val="center"/>
          </w:tcPr>
          <w:p w:rsidR="00B67373" w:rsidRPr="00966E33" w:rsidRDefault="00B67373" w:rsidP="00574A3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66E33">
              <w:rPr>
                <w:sz w:val="26"/>
                <w:szCs w:val="26"/>
              </w:rPr>
              <w:t>1</w:t>
            </w:r>
          </w:p>
        </w:tc>
        <w:tc>
          <w:tcPr>
            <w:tcW w:w="2864" w:type="dxa"/>
            <w:vAlign w:val="center"/>
          </w:tcPr>
          <w:p w:rsidR="00B67373" w:rsidRPr="00966E33" w:rsidRDefault="00B67373" w:rsidP="00574A3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66E33">
              <w:rPr>
                <w:sz w:val="26"/>
                <w:szCs w:val="26"/>
              </w:rPr>
              <w:t>1.003876.000.00.00.H49</w:t>
            </w:r>
          </w:p>
        </w:tc>
        <w:tc>
          <w:tcPr>
            <w:tcW w:w="6520" w:type="dxa"/>
            <w:vAlign w:val="center"/>
          </w:tcPr>
          <w:p w:rsidR="00B67373" w:rsidRPr="00966E33" w:rsidRDefault="00B67373" w:rsidP="00574A3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B06963">
              <w:rPr>
                <w:sz w:val="26"/>
                <w:szCs w:val="26"/>
                <w:lang w:val="pt-BR"/>
              </w:rPr>
              <w:t>Thủ tục đề nghị Cục Quản lý Xuất nhập cảnh, Bộ Công an cấp hoặc gia hạn thị</w:t>
            </w:r>
            <w:r w:rsidR="00D72EBB">
              <w:rPr>
                <w:sz w:val="26"/>
                <w:szCs w:val="26"/>
                <w:lang w:val="pt-BR"/>
              </w:rPr>
              <w:t xml:space="preserve"> </w:t>
            </w:r>
            <w:r w:rsidRPr="00B06963">
              <w:rPr>
                <w:sz w:val="26"/>
                <w:szCs w:val="26"/>
                <w:lang w:val="pt-BR"/>
              </w:rPr>
              <w:t>thực nhập cảnh, lưu trú cho người nước ngoài vào công tác, làm việc với các cơ quan, ban, ngành, địa phương của tỉnh</w:t>
            </w:r>
          </w:p>
        </w:tc>
        <w:tc>
          <w:tcPr>
            <w:tcW w:w="3260" w:type="dxa"/>
            <w:vAlign w:val="center"/>
          </w:tcPr>
          <w:p w:rsidR="00B67373" w:rsidRPr="000B577B" w:rsidRDefault="00B67373" w:rsidP="00574A3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B577B">
              <w:rPr>
                <w:sz w:val="26"/>
                <w:szCs w:val="26"/>
              </w:rPr>
              <w:t xml:space="preserve">- Thông tư số 22/2023/TT-BCA ngày 30/6/2023 của Bộ Công an </w:t>
            </w:r>
            <w:r w:rsidR="000B577B" w:rsidRPr="000B577B">
              <w:rPr>
                <w:sz w:val="26"/>
                <w:szCs w:val="26"/>
              </w:rPr>
              <w:t xml:space="preserve">sửa đổi, bổ sung 1 số mẫu giấy tờ ban hành kèm theo </w:t>
            </w:r>
            <w:r w:rsidR="000B577B" w:rsidRPr="000B577B">
              <w:rPr>
                <w:rFonts w:eastAsia="Times New Roman" w:cs="Times New Roman"/>
                <w:color w:val="000000"/>
                <w:sz w:val="26"/>
                <w:szCs w:val="26"/>
              </w:rPr>
              <w:t>Thông tư số 04/2015/TT-BCA ngày 05/01/2015 của Bộ Công an quy định chi tiết về mẫu giấy tờ liên quan đến việc nhập cảnh, xuất cảnh, cư trú của người nước ngoài tại Việt Nam</w:t>
            </w:r>
          </w:p>
        </w:tc>
        <w:tc>
          <w:tcPr>
            <w:tcW w:w="1247" w:type="dxa"/>
          </w:tcPr>
          <w:p w:rsidR="00B67373" w:rsidRPr="00966E33" w:rsidRDefault="00B67373" w:rsidP="00574A34">
            <w:pPr>
              <w:spacing w:after="0" w:line="240" w:lineRule="auto"/>
              <w:jc w:val="center"/>
              <w:rPr>
                <w:rFonts w:ascii=".VnTimeH" w:hAnsi=".VnTimeH"/>
                <w:sz w:val="26"/>
                <w:szCs w:val="26"/>
                <w:lang w:val="vi-VN"/>
              </w:rPr>
            </w:pPr>
          </w:p>
          <w:p w:rsidR="00B67373" w:rsidRPr="00966E33" w:rsidRDefault="00B67373" w:rsidP="00574A34">
            <w:pPr>
              <w:spacing w:after="0" w:line="240" w:lineRule="auto"/>
              <w:jc w:val="center"/>
              <w:rPr>
                <w:rFonts w:ascii=".VnTimeH" w:hAnsi=".VnTimeH"/>
                <w:sz w:val="26"/>
                <w:szCs w:val="26"/>
                <w:lang w:val="vi-VN"/>
              </w:rPr>
            </w:pPr>
          </w:p>
        </w:tc>
      </w:tr>
    </w:tbl>
    <w:p w:rsidR="0049419A" w:rsidRPr="00B67373" w:rsidRDefault="0049419A" w:rsidP="00B67373">
      <w:pPr>
        <w:tabs>
          <w:tab w:val="left" w:pos="2565"/>
        </w:tabs>
      </w:pPr>
    </w:p>
    <w:sectPr w:rsidR="0049419A" w:rsidRPr="00B67373" w:rsidSect="00B67373">
      <w:pgSz w:w="16834" w:h="11909" w:orient="landscape" w:code="9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7E99"/>
    <w:rsid w:val="0002706B"/>
    <w:rsid w:val="00036BE7"/>
    <w:rsid w:val="000B577B"/>
    <w:rsid w:val="000F004D"/>
    <w:rsid w:val="00115542"/>
    <w:rsid w:val="00142BFA"/>
    <w:rsid w:val="0018210D"/>
    <w:rsid w:val="001E6C78"/>
    <w:rsid w:val="001F3F41"/>
    <w:rsid w:val="00206E4A"/>
    <w:rsid w:val="00221B1A"/>
    <w:rsid w:val="00263AC7"/>
    <w:rsid w:val="0028157B"/>
    <w:rsid w:val="00293378"/>
    <w:rsid w:val="002B1373"/>
    <w:rsid w:val="002C6683"/>
    <w:rsid w:val="002D0BC6"/>
    <w:rsid w:val="00333C80"/>
    <w:rsid w:val="00372C7C"/>
    <w:rsid w:val="00387EFD"/>
    <w:rsid w:val="00402914"/>
    <w:rsid w:val="004464AE"/>
    <w:rsid w:val="0049419A"/>
    <w:rsid w:val="004A3B1B"/>
    <w:rsid w:val="00574A34"/>
    <w:rsid w:val="005850B6"/>
    <w:rsid w:val="0059271E"/>
    <w:rsid w:val="00596949"/>
    <w:rsid w:val="00620ABF"/>
    <w:rsid w:val="00632A31"/>
    <w:rsid w:val="00673A70"/>
    <w:rsid w:val="00676A0B"/>
    <w:rsid w:val="00686FCB"/>
    <w:rsid w:val="00693209"/>
    <w:rsid w:val="006A161B"/>
    <w:rsid w:val="007734CC"/>
    <w:rsid w:val="007B44DD"/>
    <w:rsid w:val="00810EF9"/>
    <w:rsid w:val="00820249"/>
    <w:rsid w:val="00843221"/>
    <w:rsid w:val="008649DD"/>
    <w:rsid w:val="00866FB7"/>
    <w:rsid w:val="008705BA"/>
    <w:rsid w:val="008835FD"/>
    <w:rsid w:val="00890837"/>
    <w:rsid w:val="008974EC"/>
    <w:rsid w:val="00914010"/>
    <w:rsid w:val="00957E99"/>
    <w:rsid w:val="009F117A"/>
    <w:rsid w:val="00A02266"/>
    <w:rsid w:val="00A3680F"/>
    <w:rsid w:val="00A41CF4"/>
    <w:rsid w:val="00A46D42"/>
    <w:rsid w:val="00AB7392"/>
    <w:rsid w:val="00AF350A"/>
    <w:rsid w:val="00B20694"/>
    <w:rsid w:val="00B46A5C"/>
    <w:rsid w:val="00B67373"/>
    <w:rsid w:val="00B93CDD"/>
    <w:rsid w:val="00B9798A"/>
    <w:rsid w:val="00BB28DE"/>
    <w:rsid w:val="00BB53E3"/>
    <w:rsid w:val="00C721F7"/>
    <w:rsid w:val="00D52D10"/>
    <w:rsid w:val="00D62F7A"/>
    <w:rsid w:val="00D72EBB"/>
    <w:rsid w:val="00D827C3"/>
    <w:rsid w:val="00DF3937"/>
    <w:rsid w:val="00DF6AC6"/>
    <w:rsid w:val="00E42308"/>
    <w:rsid w:val="00E52DDD"/>
    <w:rsid w:val="00EF6ECE"/>
    <w:rsid w:val="00F92C98"/>
    <w:rsid w:val="00FB0FA8"/>
    <w:rsid w:val="00FB333B"/>
    <w:rsid w:val="00FE1028"/>
    <w:rsid w:val="00FE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2" type="connector" idref="#AutoShape 16"/>
      </o:rules>
    </o:shapelayout>
  </w:shapeDefaults>
  <w:decimalSymbol w:val="."/>
  <w:listSeparator w:val=","/>
  <w14:docId w14:val="4E16AEA9"/>
  <w15:docId w15:val="{6D0698AC-C9E4-48C2-A8EA-C1233178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E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57E99"/>
    <w:pPr>
      <w:spacing w:after="120" w:line="480" w:lineRule="auto"/>
    </w:pPr>
    <w:rPr>
      <w:rFonts w:eastAsia="Times New Roman" w:cs="Times New Roman"/>
      <w:szCs w:val="28"/>
    </w:rPr>
  </w:style>
  <w:style w:type="character" w:customStyle="1" w:styleId="BodyText2Char">
    <w:name w:val="Body Text 2 Char"/>
    <w:basedOn w:val="DefaultParagraphFont"/>
    <w:link w:val="BodyText2"/>
    <w:rsid w:val="00957E99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Luu Tru 1 _PhuongOt</cp:lastModifiedBy>
  <cp:revision>32</cp:revision>
  <cp:lastPrinted>2024-05-09T07:18:00Z</cp:lastPrinted>
  <dcterms:created xsi:type="dcterms:W3CDTF">2023-08-07T06:25:00Z</dcterms:created>
  <dcterms:modified xsi:type="dcterms:W3CDTF">2024-06-21T16:48:00Z</dcterms:modified>
</cp:coreProperties>
</file>